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76250d8k.htm"/>
      <w:bookmarkStart w:id="1" w:name="ksd37625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CYCLERION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001-38787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83-1895370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245 First Street, 18th Floor</w:t>
      </w:r>
    </w:p>
    <w:p>
      <w:pPr>
        <w:pStyle w:val="TextBody"/>
        <w:bidi w:val="0"/>
        <w:spacing w:before="0" w:after="0"/>
        <w:jc w:val="center"/>
        <w:rPr>
          <w:rFonts w:ascii="Times New Roman" w:hAnsi="Times New Roman"/>
          <w:b/>
          <w:sz w:val="20"/>
        </w:rPr>
      </w:pPr>
      <w:r>
        <w:rPr>
          <w:rFonts w:ascii="Times New Roman" w:hAnsi="Times New Roman"/>
          <w:b/>
          <w:sz w:val="20"/>
        </w:rPr>
        <w:t>Cambridge, Massachusetts 02142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(857) 327-8778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390" w:type="dxa"/>
        <w:jc w:val="left"/>
        <w:tblInd w:w="0" w:type="dxa"/>
        <w:tblLayout w:type="fixed"/>
        <w:tblCellMar>
          <w:top w:w="0" w:type="dxa"/>
          <w:left w:w="0" w:type="dxa"/>
          <w:bottom w:w="0" w:type="dxa"/>
          <w:right w:w="0" w:type="dxa"/>
        </w:tblCellMar>
      </w:tblPr>
      <w:tblGrid>
        <w:gridCol w:w="2810"/>
        <w:gridCol w:w="60"/>
        <w:gridCol w:w="740"/>
        <w:gridCol w:w="60"/>
        <w:gridCol w:w="2720"/>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810" w:type="dxa"/>
            <w:tcBorders/>
            <w:vAlign w:val="center"/>
          </w:tcPr>
          <w:p>
            <w:pPr>
              <w:pStyle w:val="TableContents"/>
              <w:bidi w:val="0"/>
              <w:spacing w:before="0" w:after="283"/>
              <w:jc w:val="center"/>
              <w:rPr/>
            </w:pPr>
            <w:r>
              <w:rPr/>
              <w:t>Common Stock,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CYCN</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25, 2026, the board of directors of Cyclerion Therapeutics, Inc. (the “Company”) fixed the close of business on September 4, 2026 as the record date for the Company’s previously announced distribution (the “CVR Distribution”) of contingent value rights (“CVRs”) to holders of record of the Company’s common stock and the Company’s Series A Preferred Stock, in connection with the Company’s planned merger (the “Merger”) with Korsana Biosciences, Inc. (“Korsana”).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(including within the meaning of Section 21E of the Exchange Act and Section 27A of the Securities Act) concerning Cyclerion, Korsana, the proposed transactions and other matters. These forward-looking statements include express or implied statements relating to the expected timing of the closing of the Merger; the record date for, and the expected payment date of, the CVR Distribution; the number of CVRs expected to be distributed and the anticipated terms of the CVRs, including their transferability, registration and listing status; the potential for payments to become due or to be made in respect of the CVRs;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Current Report on Form 8-K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Cyclerion’s failure to obtain shareholder approval for the Merger, risks associated with the potential failure to complete the financing transaction in a timely manner or at all, risks associated with the uncertainty as to the timing of the consummation of the Merger and the ability of each of Cyclerion and Korsana to consummate the transactions contemplated by the Merger, risks associated with Cyclerion’s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economic developments; and those risks and uncertainties and other factors more fully described in filings with the Securities and Exchange Commission, including reports filed on Form 10-K, 10-Q and 8-K and in other filings made by Cyclerion with the SEC from time to time and available at www.sec.gov. These forward-looking statements are based on current expectations, and with regard to the proposed transaction, are based on Cyclerion’s current expectations, estimates and projections about the expected date of closing of the proposed transaction and the potential benefits thereof, its business and industry, management’s beliefs and certain assumptions made by Cyclerion, all of which are subject to change. Such forward-looking statements are made as of the date of this Current Report on Form 8-K, and the parties undertake no obligation to update such statements to reflect subsequent events or circumstances, except as otherwise required by securities and other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CURRENT REPORT ON FORM 8-K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does not substitute for the Form S-4, proxy statement/prospectus or for any other document that Cyclerion has filed or may file with the SEC in connection with the proposed transaction. In connection with the proposed transaction between Cyclerion and Korsana, Cyclerion has filed relevant materials with the SEC, including the Form S-4 that contains a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CYCLERION URGES INVESTORS AND STOCKHOLDERS TO READ THE FORM S-4, PROXY STATEMENT/PROSPECTUS AND ANY OTHER RELEVANT DOCUMENTS THAT HAVE BEEN OR MAY BE FILED WITH THE SEC, AS WELL AS ANY AMENDMENTS OR SUPPLEMENTS TO THOSE DOCUMENTS, CAREFULLY AND IN THEIR ENTIRETY IF AND WHEN THEY BECOME AVAILABLE BECAUSE THEY CONTAIN OR WILL CONTAIN IMPORTANT INFORMATION ABOUT CYCLERION, KORSANA, THE PROPOSED TRANSACTION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stockholders can obtain free copies of the Form S-4 and other documents filed by Cyclerion with the SEC (when they become available) through the website maintained by the SEC at www.sec.gov. In addition, investors and stockholders should note that Cyclerion communicates with investors and the public using its website (www.cyclerion.com) and the investor relations website (www.cyclerion.com/investor-resources) where anyone is able to obtain free copies of the Form S-4 and other documents filed by Cyclerion with the SEC and stockholders are urged to read the Form S-4 and the other relevant materials when they become available before making any voting or investment decision with respect to the proposed transaction.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Cyclerion, Korsana and their respective directors and executive officers may be deemed to be participants in the solicitation of proxies from stockholders in connection with the proposed transaction. Information about Cyclerion’s directors and executive officers including a description of their interests in Cyclerion is included in Cyclerion’s Annual Report on Form 10-K, as filed with the SEC on March 30, 2026 and amended on April 30, 2026, and in subsequent reports filed with the SEC. Additional information regarding these persons and their interests in the proposed transaction are included in the Form S-4 relating to the proposed transaction filed with the SEC. These documents can be obtained free of charge from the sources indicated above.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20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416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b/>
              </w:rPr>
            </w:pPr>
            <w:r>
              <w:rPr>
                <w:b/>
              </w:rPr>
              <w:t>CYCLERION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22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Regina Graul,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Regina Graul,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1871</Words>
  <Characters>10683</Characters>
  <CharactersWithSpaces>12546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