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60"/>
        <w:spacing w:after="0" w:line="24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-229235</wp:posOffset>
            </wp:positionV>
            <wp:extent cx="127635" cy="127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635" cy="1276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6240" w:type="dxa"/>
            <w:vAlign w:val="bottom"/>
          </w:tcPr>
          <w:p>
            <w:pPr>
              <w:jc w:val="center"/>
              <w:ind w:right="25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38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58"/>
              <w:spacing w:after="0" w:line="130"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62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5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3"/>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5268595</wp:posOffset>
            </wp:positionH>
            <wp:positionV relativeFrom="paragraph">
              <wp:posOffset>-590550</wp:posOffset>
            </wp:positionV>
            <wp:extent cx="8255" cy="5911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1185"/>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-598170</wp:posOffset>
            </wp:positionV>
            <wp:extent cx="8255" cy="5988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59880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-574040</wp:posOffset>
            </wp:positionV>
            <wp:extent cx="1270000" cy="551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5118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-1662430</wp:posOffset>
            </wp:positionH>
            <wp:positionV relativeFrom="paragraph">
              <wp:posOffset>25400</wp:posOffset>
            </wp:positionV>
            <wp:extent cx="6971665" cy="17011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1665" cy="170116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00" w:space="420"/>
            <w:col w:w="8460"/>
          </w:cols>
          <w:pgMar w:left="460" w:top="219" w:right="359" w:bottom="281"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Hecht Peter M</w:t>
        </w:r>
      </w:hyperlink>
    </w:p>
    <w:p>
      <w:pPr>
        <w:spacing w:after="0" w:line="30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6" w:lineRule="exact"/>
        <w:rPr>
          <w:sz w:val="24"/>
          <w:szCs w:val="24"/>
          <w:color w:val="auto"/>
        </w:rPr>
      </w:pPr>
    </w:p>
    <w:p>
      <w:pPr>
        <w:ind w:left="120"/>
        <w:spacing w:after="0"/>
        <w:rPr>
          <w:sz w:val="20"/>
          <w:szCs w:val="20"/>
          <w:color w:val="auto"/>
        </w:rPr>
      </w:pPr>
      <w:r>
        <w:rPr>
          <w:rFonts w:ascii="Arial" w:cs="Arial" w:eastAsia="Arial" w:hAnsi="Arial"/>
          <w:sz w:val="15"/>
          <w:szCs w:val="15"/>
          <w:color w:val="0000FF"/>
        </w:rPr>
        <w:t>C/O CYCLERION THERAPEUTICS, INC.</w:t>
      </w:r>
    </w:p>
    <w:p>
      <w:pPr>
        <w:spacing w:after="0" w:line="79"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301 BINNEY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Arial" w:cs="Arial" w:eastAsia="Arial" w:hAnsi="Arial"/>
          <w:sz w:val="18"/>
          <w:szCs w:val="18"/>
          <w:color w:val="0000EE"/>
        </w:rPr>
      </w:pPr>
      <w:hyperlink r:id="rId14">
        <w:r>
          <w:rPr>
            <w:rFonts w:ascii="Arial" w:cs="Arial" w:eastAsia="Arial" w:hAnsi="Arial"/>
            <w:sz w:val="18"/>
            <w:szCs w:val="18"/>
            <w:u w:val="single" w:color="auto"/>
            <w:color w:val="0000EE"/>
          </w:rPr>
          <w:t>Cyclerion Therapeutics, Inc.</w:t>
        </w:r>
        <w:r>
          <w:rPr>
            <w:rFonts w:ascii="Arial" w:cs="Arial" w:eastAsia="Arial" w:hAnsi="Arial"/>
            <w:sz w:val="18"/>
            <w:szCs w:val="18"/>
            <w:color w:val="0000EE"/>
          </w:rPr>
          <w:t xml:space="preserve"> </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4"/>
          <w:szCs w:val="14"/>
          <w:color w:val="0000FF"/>
        </w:rPr>
        <w:t>CYCN</w:t>
      </w:r>
      <w:r>
        <w:rPr>
          <w:rFonts w:ascii="Arial" w:cs="Arial" w:eastAsia="Arial" w:hAnsi="Arial"/>
          <w:sz w:val="18"/>
          <w:szCs w:val="18"/>
          <w:color w:val="0000EE"/>
        </w:rPr>
        <w:t xml:space="preserve"> </w:t>
      </w:r>
      <w:r>
        <w:rPr>
          <w:rFonts w:ascii="Arial" w:cs="Arial" w:eastAsia="Arial" w:hAnsi="Arial"/>
          <w:sz w:val="18"/>
          <w:szCs w:val="18"/>
          <w:color w:val="000000"/>
        </w:rPr>
        <w:t>]</w:t>
      </w:r>
    </w:p>
    <w:p>
      <w:pPr>
        <w:spacing w:after="0" w:line="39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6"/>
          <w:szCs w:val="16"/>
          <w:color w:val="0000FF"/>
        </w:rPr>
        <w:t>03/31/2020</w:t>
      </w:r>
    </w:p>
    <w:p>
      <w:pPr>
        <w:spacing w:after="0" w:line="20" w:lineRule="exact"/>
        <w:rPr>
          <w:sz w:val="24"/>
          <w:szCs w:val="24"/>
          <w:color w:val="auto"/>
        </w:rPr>
      </w:pPr>
      <w:r>
        <w:rPr>
          <w:sz w:val="24"/>
          <w:szCs w:val="24"/>
          <w:color w:val="auto"/>
        </w:rPr>
        <w:br w:type="column"/>
      </w:r>
    </w:p>
    <w:p>
      <w:pPr>
        <w:ind w:left="-2" w:right="700" w:firstLine="2"/>
        <w:spacing w:after="0" w:line="231"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198" w:type="dxa"/>
        <w:tblCellMar>
          <w:top w:w="0" w:type="dxa"/>
          <w:left w:w="0" w:type="dxa"/>
          <w:bottom w:w="0" w:type="dxa"/>
          <w:right w:w="0" w:type="dxa"/>
        </w:tblCellMar>
      </w:tblPr>
      <w:tr>
        <w:trPr>
          <w:trHeight w:val="208"/>
        </w:trPr>
        <w:tc>
          <w:tcPr>
            <w:tcW w:w="220" w:type="dxa"/>
            <w:vAlign w:val="bottom"/>
          </w:tcPr>
          <w:p>
            <w:pPr>
              <w:spacing w:after="0"/>
              <w:rPr>
                <w:sz w:val="20"/>
                <w:szCs w:val="20"/>
                <w:color w:val="auto"/>
              </w:rPr>
            </w:pPr>
            <w:r>
              <w:rPr>
                <w:rFonts w:ascii="Arial" w:cs="Arial" w:eastAsia="Arial" w:hAnsi="Arial"/>
                <w:sz w:val="16"/>
                <w:szCs w:val="16"/>
                <w:color w:val="0000FF"/>
              </w:rPr>
              <w:t>X</w:t>
            </w:r>
          </w:p>
        </w:tc>
        <w:tc>
          <w:tcPr>
            <w:tcW w:w="134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0"/>
        </w:trPr>
        <w:tc>
          <w:tcPr>
            <w:tcW w:w="220" w:type="dxa"/>
            <w:vAlign w:val="bottom"/>
            <w:vMerge w:val="restart"/>
          </w:tcPr>
          <w:p>
            <w:pPr>
              <w:spacing w:after="0"/>
              <w:rPr>
                <w:sz w:val="20"/>
                <w:szCs w:val="20"/>
                <w:color w:val="auto"/>
              </w:rPr>
            </w:pPr>
            <w:r>
              <w:rPr>
                <w:rFonts w:ascii="Arial" w:cs="Arial" w:eastAsia="Arial" w:hAnsi="Arial"/>
                <w:sz w:val="16"/>
                <w:szCs w:val="16"/>
                <w:color w:val="0000FF"/>
              </w:rPr>
              <w:t>X</w:t>
            </w:r>
          </w:p>
        </w:tc>
        <w:tc>
          <w:tcPr>
            <w:tcW w:w="134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99"/>
        </w:trPr>
        <w:tc>
          <w:tcPr>
            <w:tcW w:w="220" w:type="dxa"/>
            <w:vAlign w:val="bottom"/>
            <w:vMerge w:val="continue"/>
          </w:tcPr>
          <w:p>
            <w:pPr>
              <w:spacing w:after="0"/>
              <w:rPr>
                <w:sz w:val="8"/>
                <w:szCs w:val="8"/>
                <w:color w:val="auto"/>
              </w:rPr>
            </w:pPr>
          </w:p>
        </w:tc>
        <w:tc>
          <w:tcPr>
            <w:tcW w:w="134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1"/>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798"/>
        <w:spacing w:after="0"/>
        <w:rPr>
          <w:sz w:val="20"/>
          <w:szCs w:val="20"/>
          <w:color w:val="auto"/>
        </w:rPr>
      </w:pPr>
      <w:r>
        <w:rPr>
          <w:rFonts w:ascii="Arial" w:cs="Arial" w:eastAsia="Arial" w:hAnsi="Arial"/>
          <w:sz w:val="16"/>
          <w:szCs w:val="16"/>
          <w:color w:val="0000FF"/>
        </w:rPr>
        <w:t>Chief Executive Officer</w:t>
      </w:r>
    </w:p>
    <w:p>
      <w:pPr>
        <w:spacing w:after="0" w:line="391" w:lineRule="exact"/>
        <w:rPr>
          <w:sz w:val="24"/>
          <w:szCs w:val="24"/>
          <w:color w:val="auto"/>
        </w:rPr>
      </w:pPr>
    </w:p>
    <w:p>
      <w:pPr>
        <w:sectPr>
          <w:pgSz w:w="11900" w:h="16838" w:orient="portrait"/>
          <w:cols w:equalWidth="0" w:num="3">
            <w:col w:w="3180" w:space="720"/>
            <w:col w:w="3102" w:space="720"/>
            <w:col w:w="3358"/>
          </w:cols>
          <w:pgMar w:left="460" w:top="219" w:right="359" w:bottom="281" w:gutter="0" w:footer="0" w:header="0"/>
          <w:type w:val="continuous"/>
        </w:sectPr>
      </w:pPr>
    </w:p>
    <w:p>
      <w:pPr>
        <w:spacing w:after="0" w:line="212" w:lineRule="exact"/>
        <w:rPr>
          <w:sz w:val="24"/>
          <w:szCs w:val="24"/>
          <w:color w:val="auto"/>
        </w:rPr>
      </w:pPr>
    </w:p>
    <w:tbl>
      <w:tblPr>
        <w:tblLayout w:type="fixed"/>
        <w:tblInd w:w="80" w:type="dxa"/>
        <w:tblCellMar>
          <w:top w:w="0" w:type="dxa"/>
          <w:left w:w="0" w:type="dxa"/>
          <w:bottom w:w="0" w:type="dxa"/>
          <w:right w:w="0" w:type="dxa"/>
        </w:tblCellMar>
      </w:tblPr>
      <w:tr>
        <w:trPr>
          <w:trHeight w:val="150"/>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26"/>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Arial" w:cs="Arial" w:eastAsia="Arial" w:hAnsi="Arial"/>
                <w:sz w:val="16"/>
                <w:szCs w:val="16"/>
                <w:color w:val="0000FF"/>
              </w:rPr>
              <w:t>CAMBRIDGE</w:t>
            </w:r>
          </w:p>
        </w:tc>
        <w:tc>
          <w:tcPr>
            <w:tcW w:w="920" w:type="dxa"/>
            <w:vAlign w:val="bottom"/>
          </w:tcPr>
          <w:p>
            <w:pPr>
              <w:ind w:left="120"/>
              <w:spacing w:after="0"/>
              <w:rPr>
                <w:sz w:val="20"/>
                <w:szCs w:val="20"/>
                <w:color w:val="auto"/>
              </w:rPr>
            </w:pPr>
            <w:r>
              <w:rPr>
                <w:rFonts w:ascii="Arial" w:cs="Arial" w:eastAsia="Arial" w:hAnsi="Arial"/>
                <w:sz w:val="16"/>
                <w:szCs w:val="16"/>
                <w:color w:val="0000FF"/>
              </w:rPr>
              <w:t>MA</w:t>
            </w:r>
          </w:p>
        </w:tc>
        <w:tc>
          <w:tcPr>
            <w:tcW w:w="1600" w:type="dxa"/>
            <w:vAlign w:val="bottom"/>
          </w:tcPr>
          <w:p>
            <w:pPr>
              <w:ind w:left="420"/>
              <w:spacing w:after="0"/>
              <w:rPr>
                <w:sz w:val="20"/>
                <w:szCs w:val="20"/>
                <w:color w:val="auto"/>
              </w:rPr>
            </w:pPr>
            <w:r>
              <w:rPr>
                <w:rFonts w:ascii="Arial" w:cs="Arial" w:eastAsia="Arial" w:hAnsi="Arial"/>
                <w:sz w:val="16"/>
                <w:szCs w:val="16"/>
                <w:color w:val="0000FF"/>
              </w:rPr>
              <w:t>02142</w:t>
            </w:r>
          </w:p>
        </w:tc>
      </w:tr>
      <w:tr>
        <w:trPr>
          <w:trHeight w:val="146"/>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88"/>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9" w:lineRule="auto"/>
        <w:tabs>
          <w:tab w:leader="none" w:pos="434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-2475230</wp:posOffset>
            </wp:positionH>
            <wp:positionV relativeFrom="paragraph">
              <wp:posOffset>177165</wp:posOffset>
            </wp:positionV>
            <wp:extent cx="6971665" cy="3218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71665" cy="3218180"/>
                    </a:xfrm>
                    <a:prstGeom prst="rect">
                      <a:avLst/>
                    </a:prstGeom>
                    <a:noFill/>
                  </pic:spPr>
                </pic:pic>
              </a:graphicData>
            </a:graphic>
          </wp:anchor>
        </w:drawing>
      </w:r>
    </w:p>
    <w:p>
      <w:pPr>
        <w:spacing w:after="0" w:line="337" w:lineRule="exact"/>
        <w:rPr>
          <w:sz w:val="24"/>
          <w:szCs w:val="24"/>
          <w:color w:val="auto"/>
        </w:rPr>
      </w:pPr>
    </w:p>
    <w:p>
      <w:pPr>
        <w:sectPr>
          <w:pgSz w:w="11900" w:h="16838" w:orient="portrait"/>
          <w:cols w:equalWidth="0" w:num="2">
            <w:col w:w="3740" w:space="160"/>
            <w:col w:w="7180"/>
          </w:cols>
          <w:pgMar w:left="460" w:top="219" w:right="359" w:bottom="281"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tcPr>
          <w:p>
            <w:pPr>
              <w:ind w:left="86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840" w:type="dxa"/>
            <w:vAlign w:val="bottom"/>
          </w:tcPr>
          <w:p>
            <w:pPr>
              <w:ind w:left="860"/>
              <w:spacing w:after="0" w:line="123"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Indirect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840" w:type="dxa"/>
            <w:vAlign w:val="bottom"/>
          </w:tcPr>
          <w:p>
            <w:pPr>
              <w:ind w:left="8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94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5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50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Common Stock</w:t>
            </w:r>
          </w:p>
        </w:tc>
        <w:tc>
          <w:tcPr>
            <w:tcW w:w="18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8"/>
              </w:rPr>
              <w:t>223,736</w:t>
            </w:r>
            <w:r>
              <w:rPr>
                <w:rFonts w:ascii="Arial" w:cs="Arial" w:eastAsia="Arial" w:hAnsi="Arial"/>
                <w:sz w:val="20"/>
                <w:szCs w:val="20"/>
                <w:color w:val="008000"/>
                <w:w w:val="88"/>
                <w:vertAlign w:val="superscript"/>
              </w:rPr>
              <w:t>(1)</w:t>
            </w:r>
          </w:p>
        </w:tc>
        <w:tc>
          <w:tcPr>
            <w:tcW w:w="940" w:type="dxa"/>
            <w:vAlign w:val="bottom"/>
            <w:tcBorders>
              <w:bottom w:val="single" w:sz="8" w:color="2C2C2C"/>
            </w:tcBorders>
          </w:tcPr>
          <w:p>
            <w:pPr>
              <w:ind w:left="440"/>
              <w:spacing w:after="0"/>
              <w:rPr>
                <w:sz w:val="20"/>
                <w:szCs w:val="20"/>
                <w:color w:val="auto"/>
              </w:rPr>
            </w:pPr>
            <w:r>
              <w:rPr>
                <w:rFonts w:ascii="Arial" w:cs="Arial" w:eastAsia="Arial" w:hAnsi="Arial"/>
                <w:sz w:val="16"/>
                <w:szCs w:val="16"/>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The 2000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Trust for</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500" w:type="dxa"/>
            <w:vAlign w:val="bottom"/>
          </w:tcPr>
          <w:p>
            <w:pPr>
              <w:ind w:left="60"/>
              <w:spacing w:after="0"/>
              <w:rPr>
                <w:sz w:val="20"/>
                <w:szCs w:val="20"/>
                <w:color w:val="auto"/>
              </w:rPr>
            </w:pPr>
            <w:r>
              <w:rPr>
                <w:rFonts w:ascii="Arial" w:cs="Arial" w:eastAsia="Arial" w:hAnsi="Arial"/>
                <w:sz w:val="16"/>
                <w:szCs w:val="16"/>
                <w:color w:val="0000FF"/>
              </w:rPr>
              <w:t>Common Stock</w:t>
            </w:r>
          </w:p>
        </w:tc>
        <w:tc>
          <w:tcPr>
            <w:tcW w:w="1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0000FF"/>
                <w:w w:val="89"/>
              </w:rPr>
              <w:t>485</w:t>
            </w:r>
          </w:p>
        </w:tc>
        <w:tc>
          <w:tcPr>
            <w:tcW w:w="940" w:type="dxa"/>
            <w:vAlign w:val="bottom"/>
          </w:tcPr>
          <w:p>
            <w:pPr>
              <w:ind w:left="480"/>
              <w:spacing w:after="0"/>
              <w:rPr>
                <w:sz w:val="20"/>
                <w:szCs w:val="20"/>
                <w:color w:val="auto"/>
              </w:rPr>
            </w:pPr>
            <w:r>
              <w:rPr>
                <w:rFonts w:ascii="Arial" w:cs="Arial" w:eastAsia="Arial" w:hAnsi="Arial"/>
                <w:sz w:val="16"/>
                <w:szCs w:val="16"/>
                <w:color w:val="0000FF"/>
              </w:rPr>
              <w:t>I</w:t>
            </w:r>
          </w:p>
        </w:tc>
        <w:tc>
          <w:tcPr>
            <w:tcW w:w="800" w:type="dxa"/>
            <w:vAlign w:val="bottom"/>
          </w:tcPr>
          <w:p>
            <w:pPr>
              <w:ind w:left="100"/>
              <w:spacing w:after="0"/>
              <w:rPr>
                <w:sz w:val="20"/>
                <w:szCs w:val="20"/>
                <w:color w:val="auto"/>
              </w:rPr>
            </w:pPr>
            <w:r>
              <w:rPr>
                <w:rFonts w:ascii="Arial" w:cs="Arial" w:eastAsia="Arial" w:hAnsi="Arial"/>
                <w:sz w:val="16"/>
                <w:szCs w:val="16"/>
                <w:color w:val="0000FF"/>
              </w:rPr>
              <w:t>Alexis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Mae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500" w:type="dxa"/>
            <w:vAlign w:val="bottom"/>
            <w:tcBorders>
              <w:bottom w:val="single" w:sz="8" w:color="2C2C2C"/>
            </w:tcBorders>
          </w:tcPr>
          <w:p>
            <w:pPr>
              <w:spacing w:after="0"/>
              <w:rPr>
                <w:sz w:val="23"/>
                <w:szCs w:val="23"/>
                <w:color w:val="auto"/>
              </w:rPr>
            </w:pPr>
          </w:p>
        </w:tc>
        <w:tc>
          <w:tcPr>
            <w:tcW w:w="184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66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tcPr>
          <w:p>
            <w:pPr>
              <w:spacing w:after="0"/>
              <w:rPr>
                <w:sz w:val="23"/>
                <w:szCs w:val="23"/>
                <w:color w:val="auto"/>
              </w:rPr>
            </w:pPr>
          </w:p>
        </w:tc>
        <w:tc>
          <w:tcPr>
            <w:tcW w:w="800" w:type="dxa"/>
            <w:vAlign w:val="bottom"/>
            <w:tcBorders>
              <w:bottom w:val="single" w:sz="8" w:color="2C2C2C"/>
            </w:tcBorders>
          </w:tcPr>
          <w:p>
            <w:pPr>
              <w:ind w:left="100"/>
              <w:spacing w:after="0"/>
              <w:rPr>
                <w:sz w:val="20"/>
                <w:szCs w:val="20"/>
                <w:color w:val="auto"/>
              </w:rPr>
            </w:pPr>
            <w:r>
              <w:rPr>
                <w:rFonts w:ascii="Arial" w:cs="Arial" w:eastAsia="Arial" w:hAnsi="Arial"/>
                <w:sz w:val="16"/>
                <w:szCs w:val="16"/>
                <w:color w:val="0000FF"/>
              </w:rPr>
              <w:t>Hecht</w:t>
            </w:r>
            <w:r>
              <w:rPr>
                <w:rFonts w:ascii="Arial" w:cs="Arial" w:eastAsia="Arial" w:hAnsi="Arial"/>
                <w:sz w:val="20"/>
                <w:szCs w:val="20"/>
                <w:color w:val="008000"/>
                <w:vertAlign w:val="superscript"/>
              </w:rPr>
              <w:t>(2)</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The 2000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Trust for</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500" w:type="dxa"/>
            <w:vAlign w:val="bottom"/>
          </w:tcPr>
          <w:p>
            <w:pPr>
              <w:ind w:left="60"/>
              <w:spacing w:after="0"/>
              <w:rPr>
                <w:sz w:val="20"/>
                <w:szCs w:val="20"/>
                <w:color w:val="auto"/>
              </w:rPr>
            </w:pPr>
            <w:r>
              <w:rPr>
                <w:rFonts w:ascii="Arial" w:cs="Arial" w:eastAsia="Arial" w:hAnsi="Arial"/>
                <w:sz w:val="16"/>
                <w:szCs w:val="16"/>
                <w:color w:val="0000FF"/>
              </w:rPr>
              <w:t>Common Stock</w:t>
            </w:r>
          </w:p>
        </w:tc>
        <w:tc>
          <w:tcPr>
            <w:tcW w:w="1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0000FF"/>
                <w:w w:val="89"/>
              </w:rPr>
              <w:t>485</w:t>
            </w:r>
          </w:p>
        </w:tc>
        <w:tc>
          <w:tcPr>
            <w:tcW w:w="940" w:type="dxa"/>
            <w:vAlign w:val="bottom"/>
          </w:tcPr>
          <w:p>
            <w:pPr>
              <w:ind w:left="480"/>
              <w:spacing w:after="0"/>
              <w:rPr>
                <w:sz w:val="20"/>
                <w:szCs w:val="20"/>
                <w:color w:val="auto"/>
              </w:rPr>
            </w:pPr>
            <w:r>
              <w:rPr>
                <w:rFonts w:ascii="Arial" w:cs="Arial" w:eastAsia="Arial" w:hAnsi="Arial"/>
                <w:sz w:val="16"/>
                <w:szCs w:val="16"/>
                <w:color w:val="0000FF"/>
              </w:rPr>
              <w:t>I</w:t>
            </w:r>
          </w:p>
        </w:tc>
        <w:tc>
          <w:tcPr>
            <w:tcW w:w="800" w:type="dxa"/>
            <w:vAlign w:val="bottom"/>
          </w:tcPr>
          <w:p>
            <w:pPr>
              <w:ind w:left="100"/>
              <w:spacing w:after="0"/>
              <w:rPr>
                <w:sz w:val="20"/>
                <w:szCs w:val="20"/>
                <w:color w:val="auto"/>
              </w:rPr>
            </w:pPr>
            <w:r>
              <w:rPr>
                <w:rFonts w:ascii="Arial" w:cs="Arial" w:eastAsia="Arial" w:hAnsi="Arial"/>
                <w:sz w:val="16"/>
                <w:szCs w:val="16"/>
                <w:color w:val="0000FF"/>
              </w:rPr>
              <w:t>Malcolm</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Peter</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500" w:type="dxa"/>
            <w:vAlign w:val="bottom"/>
            <w:tcBorders>
              <w:bottom w:val="single" w:sz="8" w:color="2C2C2C"/>
            </w:tcBorders>
          </w:tcPr>
          <w:p>
            <w:pPr>
              <w:spacing w:after="0"/>
              <w:rPr>
                <w:sz w:val="23"/>
                <w:szCs w:val="23"/>
                <w:color w:val="auto"/>
              </w:rPr>
            </w:pPr>
          </w:p>
        </w:tc>
        <w:tc>
          <w:tcPr>
            <w:tcW w:w="184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66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tcPr>
          <w:p>
            <w:pPr>
              <w:spacing w:after="0"/>
              <w:rPr>
                <w:sz w:val="23"/>
                <w:szCs w:val="23"/>
                <w:color w:val="auto"/>
              </w:rPr>
            </w:pPr>
          </w:p>
        </w:tc>
        <w:tc>
          <w:tcPr>
            <w:tcW w:w="800" w:type="dxa"/>
            <w:vAlign w:val="bottom"/>
            <w:tcBorders>
              <w:bottom w:val="single" w:sz="8" w:color="2C2C2C"/>
            </w:tcBorders>
          </w:tcPr>
          <w:p>
            <w:pPr>
              <w:ind w:left="100"/>
              <w:spacing w:after="0"/>
              <w:rPr>
                <w:sz w:val="20"/>
                <w:szCs w:val="20"/>
                <w:color w:val="auto"/>
              </w:rPr>
            </w:pPr>
            <w:r>
              <w:rPr>
                <w:rFonts w:ascii="Arial" w:cs="Arial" w:eastAsia="Arial" w:hAnsi="Arial"/>
                <w:sz w:val="16"/>
                <w:szCs w:val="16"/>
                <w:color w:val="0000FF"/>
              </w:rPr>
              <w:t>Hecht</w:t>
            </w:r>
            <w:r>
              <w:rPr>
                <w:rFonts w:ascii="Arial" w:cs="Arial" w:eastAsia="Arial" w:hAnsi="Arial"/>
                <w:sz w:val="20"/>
                <w:szCs w:val="20"/>
                <w:color w:val="008000"/>
                <w:vertAlign w:val="superscript"/>
              </w:rPr>
              <w:t>(2)</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The 2000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Trust for</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500" w:type="dxa"/>
            <w:vAlign w:val="bottom"/>
          </w:tcPr>
          <w:p>
            <w:pPr>
              <w:ind w:left="60"/>
              <w:spacing w:after="0"/>
              <w:rPr>
                <w:sz w:val="20"/>
                <w:szCs w:val="20"/>
                <w:color w:val="auto"/>
              </w:rPr>
            </w:pPr>
            <w:r>
              <w:rPr>
                <w:rFonts w:ascii="Arial" w:cs="Arial" w:eastAsia="Arial" w:hAnsi="Arial"/>
                <w:sz w:val="16"/>
                <w:szCs w:val="16"/>
                <w:color w:val="0000FF"/>
              </w:rPr>
              <w:t>Common Stock</w:t>
            </w:r>
          </w:p>
        </w:tc>
        <w:tc>
          <w:tcPr>
            <w:tcW w:w="1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0000FF"/>
                <w:w w:val="89"/>
              </w:rPr>
              <w:t>485</w:t>
            </w:r>
          </w:p>
        </w:tc>
        <w:tc>
          <w:tcPr>
            <w:tcW w:w="940" w:type="dxa"/>
            <w:vAlign w:val="bottom"/>
          </w:tcPr>
          <w:p>
            <w:pPr>
              <w:ind w:left="480"/>
              <w:spacing w:after="0"/>
              <w:rPr>
                <w:sz w:val="20"/>
                <w:szCs w:val="20"/>
                <w:color w:val="auto"/>
              </w:rPr>
            </w:pPr>
            <w:r>
              <w:rPr>
                <w:rFonts w:ascii="Arial" w:cs="Arial" w:eastAsia="Arial" w:hAnsi="Arial"/>
                <w:sz w:val="16"/>
                <w:szCs w:val="16"/>
                <w:color w:val="0000FF"/>
              </w:rPr>
              <w:t>I</w:t>
            </w:r>
          </w:p>
        </w:tc>
        <w:tc>
          <w:tcPr>
            <w:tcW w:w="800" w:type="dxa"/>
            <w:vAlign w:val="bottom"/>
          </w:tcPr>
          <w:p>
            <w:pPr>
              <w:ind w:left="100"/>
              <w:spacing w:after="0"/>
              <w:rPr>
                <w:sz w:val="20"/>
                <w:szCs w:val="20"/>
                <w:color w:val="auto"/>
              </w:rPr>
            </w:pPr>
            <w:r>
              <w:rPr>
                <w:rFonts w:ascii="Arial" w:cs="Arial" w:eastAsia="Arial" w:hAnsi="Arial"/>
                <w:sz w:val="16"/>
                <w:szCs w:val="16"/>
                <w:color w:val="0000FF"/>
              </w:rPr>
              <w:t>Zoe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Niovi</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5"/>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Arial" w:cs="Arial" w:eastAsia="Arial" w:hAnsi="Arial"/>
                <w:sz w:val="16"/>
                <w:szCs w:val="16"/>
                <w:color w:val="0000FF"/>
              </w:rPr>
              <w:t>Hecht</w:t>
            </w:r>
            <w:r>
              <w:rPr>
                <w:rFonts w:ascii="Arial" w:cs="Arial" w:eastAsia="Arial" w:hAnsi="Arial"/>
                <w:sz w:val="20"/>
                <w:szCs w:val="20"/>
                <w:color w:val="008000"/>
                <w:vertAlign w:val="superscript"/>
              </w:rPr>
              <w:t>(2)</w:t>
            </w: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00" w:type="dxa"/>
            <w:vAlign w:val="bottom"/>
            <w:tcBorders>
              <w:top w:val="single" w:sz="8" w:color="808080"/>
            </w:tcBorders>
            <w:shd w:val="clear" w:color="auto" w:fill="2C2C2C"/>
          </w:tcPr>
          <w:p>
            <w:pPr>
              <w:spacing w:after="0" w:line="20" w:lineRule="exact"/>
              <w:rPr>
                <w:sz w:val="1"/>
                <w:szCs w:val="1"/>
                <w:color w:val="auto"/>
              </w:rPr>
            </w:pPr>
          </w:p>
        </w:tc>
        <w:tc>
          <w:tcPr>
            <w:tcW w:w="1840" w:type="dxa"/>
            <w:vAlign w:val="bottom"/>
            <w:tcBorders>
              <w:top w:val="single" w:sz="8" w:color="808080"/>
            </w:tcBorders>
            <w:shd w:val="clear" w:color="auto" w:fill="2C2C2C"/>
          </w:tcPr>
          <w:p>
            <w:pPr>
              <w:spacing w:after="0" w:line="20" w:lineRule="exact"/>
              <w:rPr>
                <w:sz w:val="1"/>
                <w:szCs w:val="1"/>
                <w:color w:val="auto"/>
              </w:rPr>
            </w:pPr>
          </w:p>
        </w:tc>
        <w:tc>
          <w:tcPr>
            <w:tcW w:w="106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7035165" cy="18923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5165" cy="1892300"/>
                    </a:xfrm>
                    <a:prstGeom prst="rect">
                      <a:avLst/>
                    </a:prstGeom>
                    <a:noFill/>
                  </pic:spPr>
                </pic:pic>
              </a:graphicData>
            </a:graphic>
          </wp:anchor>
        </w:drawing>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1" w:lineRule="exact"/>
        <w:rPr>
          <w:sz w:val="24"/>
          <w:szCs w:val="24"/>
          <w:color w:val="auto"/>
        </w:rPr>
      </w:pPr>
    </w:p>
    <w:tbl>
      <w:tblPr>
        <w:tblLayout w:type="fixed"/>
        <w:tblInd w:w="2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0"/>
                <w:szCs w:val="10"/>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0"/>
                <w:szCs w:val="10"/>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Disposed of</w:t>
            </w: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(D) (Instr. 3, 4</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0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66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660" w:type="dxa"/>
            <w:vAlign w:val="bottom"/>
          </w:tcPr>
          <w:p>
            <w:pPr>
              <w:ind w:left="60"/>
              <w:spacing w:after="0" w:line="139"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vMerge w:val="restart"/>
          </w:tcPr>
          <w:p>
            <w:pPr>
              <w:ind w:left="80"/>
              <w:spacing w:after="0"/>
              <w:rPr>
                <w:sz w:val="20"/>
                <w:szCs w:val="20"/>
                <w:color w:val="auto"/>
              </w:rPr>
            </w:pPr>
            <w:r>
              <w:rPr>
                <w:rFonts w:ascii="Arial" w:cs="Arial" w:eastAsia="Arial" w:hAnsi="Arial"/>
                <w:sz w:val="13"/>
                <w:szCs w:val="13"/>
                <w:color w:val="0000FF"/>
              </w:rPr>
              <w:t>153,846</w:t>
            </w:r>
            <w:r>
              <w:rPr>
                <w:rFonts w:ascii="Arial" w:cs="Arial" w:eastAsia="Arial" w:hAnsi="Arial"/>
                <w:sz w:val="20"/>
                <w:szCs w:val="20"/>
                <w:color w:val="008000"/>
                <w:vertAlign w:val="superscript"/>
              </w:rPr>
              <w:t>(3)</w:t>
            </w:r>
          </w:p>
        </w:tc>
        <w:tc>
          <w:tcPr>
            <w:tcW w:w="220" w:type="dxa"/>
            <w:vAlign w:val="bottom"/>
          </w:tcPr>
          <w:p>
            <w:pPr>
              <w:spacing w:after="0"/>
              <w:rPr>
                <w:sz w:val="12"/>
                <w:szCs w:val="12"/>
                <w:color w:val="auto"/>
              </w:rPr>
            </w:pPr>
          </w:p>
        </w:tc>
        <w:tc>
          <w:tcPr>
            <w:tcW w:w="760" w:type="dxa"/>
            <w:vAlign w:val="bottom"/>
            <w:vMerge w:val="restart"/>
          </w:tcPr>
          <w:p>
            <w:pPr>
              <w:ind w:left="340"/>
              <w:spacing w:after="0"/>
              <w:rPr>
                <w:sz w:val="20"/>
                <w:szCs w:val="20"/>
                <w:color w:val="auto"/>
              </w:rPr>
            </w:pPr>
            <w:r>
              <w:rPr>
                <w:rFonts w:ascii="Arial" w:cs="Arial" w:eastAsia="Arial" w:hAnsi="Arial"/>
                <w:sz w:val="10"/>
                <w:szCs w:val="10"/>
                <w:color w:val="008000"/>
              </w:rPr>
              <w:t>(4)</w:t>
            </w:r>
          </w:p>
        </w:tc>
        <w:tc>
          <w:tcPr>
            <w:tcW w:w="720" w:type="dxa"/>
            <w:vAlign w:val="bottom"/>
          </w:tcPr>
          <w:p>
            <w:pPr>
              <w:spacing w:after="0"/>
              <w:rPr>
                <w:sz w:val="12"/>
                <w:szCs w:val="12"/>
                <w:color w:val="auto"/>
              </w:rPr>
            </w:pP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ind w:left="20"/>
              <w:spacing w:after="0"/>
              <w:rPr>
                <w:sz w:val="20"/>
                <w:szCs w:val="20"/>
                <w:color w:val="auto"/>
              </w:rPr>
            </w:pPr>
            <w:r>
              <w:rPr>
                <w:rFonts w:ascii="Arial" w:cs="Arial" w:eastAsia="Arial" w:hAnsi="Arial"/>
                <w:sz w:val="16"/>
                <w:szCs w:val="16"/>
                <w:color w:val="0000FF"/>
                <w:w w:val="96"/>
              </w:rPr>
              <w:t>153,846</w:t>
            </w: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60" w:type="dxa"/>
            <w:vAlign w:val="bottom"/>
          </w:tcPr>
          <w:p>
            <w:pPr>
              <w:ind w:left="60"/>
              <w:spacing w:after="0" w:line="135" w:lineRule="exact"/>
              <w:rPr>
                <w:sz w:val="20"/>
                <w:szCs w:val="20"/>
                <w:color w:val="auto"/>
              </w:rPr>
            </w:pPr>
            <w:r>
              <w:rPr>
                <w:rFonts w:ascii="Arial" w:cs="Arial" w:eastAsia="Arial" w:hAnsi="Arial"/>
                <w:sz w:val="13"/>
                <w:szCs w:val="13"/>
                <w:color w:val="0000FF"/>
              </w:rPr>
              <w:t>Option</w:t>
            </w:r>
          </w:p>
        </w:tc>
        <w:tc>
          <w:tcPr>
            <w:tcW w:w="760" w:type="dxa"/>
            <w:vAlign w:val="bottom"/>
          </w:tcPr>
          <w:p>
            <w:pPr>
              <w:ind w:left="240"/>
              <w:spacing w:after="0" w:line="135"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2.65</w:t>
            </w:r>
          </w:p>
        </w:tc>
        <w:tc>
          <w:tcPr>
            <w:tcW w:w="1060" w:type="dxa"/>
            <w:vAlign w:val="bottom"/>
          </w:tcPr>
          <w:p>
            <w:pPr>
              <w:jc w:val="right"/>
              <w:ind w:right="182"/>
              <w:spacing w:after="0" w:line="135" w:lineRule="exact"/>
              <w:rPr>
                <w:sz w:val="20"/>
                <w:szCs w:val="20"/>
                <w:color w:val="auto"/>
              </w:rPr>
            </w:pPr>
            <w:r>
              <w:rPr>
                <w:rFonts w:ascii="Arial" w:cs="Arial" w:eastAsia="Arial" w:hAnsi="Arial"/>
                <w:sz w:val="13"/>
                <w:szCs w:val="13"/>
                <w:color w:val="0000FF"/>
              </w:rPr>
              <w:t>03/31/2020</w:t>
            </w:r>
          </w:p>
        </w:tc>
        <w:tc>
          <w:tcPr>
            <w:tcW w:w="1060" w:type="dxa"/>
            <w:vAlign w:val="bottom"/>
          </w:tcPr>
          <w:p>
            <w:pPr>
              <w:spacing w:after="0"/>
              <w:rPr>
                <w:sz w:val="11"/>
                <w:szCs w:val="11"/>
                <w:color w:val="auto"/>
              </w:rPr>
            </w:pPr>
          </w:p>
        </w:tc>
        <w:tc>
          <w:tcPr>
            <w:tcW w:w="780" w:type="dxa"/>
            <w:vAlign w:val="bottom"/>
          </w:tcPr>
          <w:p>
            <w:pPr>
              <w:ind w:left="160"/>
              <w:spacing w:after="0" w:line="135" w:lineRule="exact"/>
              <w:rPr>
                <w:sz w:val="20"/>
                <w:szCs w:val="20"/>
                <w:color w:val="auto"/>
              </w:rPr>
            </w:pPr>
            <w:r>
              <w:rPr>
                <w:rFonts w:ascii="Arial" w:cs="Arial" w:eastAsia="Arial" w:hAnsi="Arial"/>
                <w:sz w:val="13"/>
                <w:szCs w:val="13"/>
                <w:color w:val="0000FF"/>
              </w:rPr>
              <w:t>A</w:t>
            </w:r>
          </w:p>
        </w:tc>
        <w:tc>
          <w:tcPr>
            <w:tcW w:w="7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3"/>
                <w:szCs w:val="13"/>
                <w:color w:val="0000FF"/>
                <w:w w:val="95"/>
              </w:rPr>
              <w:t>03/31/2030</w:t>
            </w:r>
          </w:p>
        </w:tc>
        <w:tc>
          <w:tcPr>
            <w:tcW w:w="66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680" w:type="dxa"/>
            <w:vAlign w:val="bottom"/>
          </w:tcPr>
          <w:p>
            <w:pPr>
              <w:ind w:left="200"/>
              <w:spacing w:after="0" w:line="135"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2.65</w:t>
            </w:r>
          </w:p>
        </w:tc>
        <w:tc>
          <w:tcPr>
            <w:tcW w:w="920" w:type="dxa"/>
            <w:vAlign w:val="bottom"/>
          </w:tcPr>
          <w:p>
            <w:pPr>
              <w:ind w:left="260"/>
              <w:spacing w:after="0" w:line="135" w:lineRule="exact"/>
              <w:rPr>
                <w:sz w:val="20"/>
                <w:szCs w:val="20"/>
                <w:color w:val="auto"/>
              </w:rPr>
            </w:pPr>
            <w:r>
              <w:rPr>
                <w:rFonts w:ascii="Arial" w:cs="Arial" w:eastAsia="Arial" w:hAnsi="Arial"/>
                <w:sz w:val="13"/>
                <w:szCs w:val="13"/>
                <w:color w:val="0000FF"/>
              </w:rPr>
              <w:t>153,846</w:t>
            </w:r>
          </w:p>
        </w:tc>
        <w:tc>
          <w:tcPr>
            <w:tcW w:w="700" w:type="dxa"/>
            <w:vAlign w:val="bottom"/>
          </w:tcPr>
          <w:p>
            <w:pPr>
              <w:ind w:left="300"/>
              <w:spacing w:after="0" w:line="13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ind w:left="160"/>
              <w:spacing w:after="0" w:line="126" w:lineRule="exact"/>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66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line="237" w:lineRule="auto"/>
        <w:rPr>
          <w:sz w:val="20"/>
          <w:szCs w:val="20"/>
          <w:color w:val="auto"/>
        </w:rPr>
      </w:pPr>
      <w:r>
        <w:rPr>
          <w:rFonts w:ascii="Arial" w:cs="Arial" w:eastAsia="Arial" w:hAnsi="Arial"/>
          <w:sz w:val="13"/>
          <w:szCs w:val="13"/>
          <w:color w:val="0000FF"/>
        </w:rPr>
        <w:t>Buy)</w:t>
      </w:r>
    </w:p>
    <w:p>
      <w:pPr>
        <w:spacing w:after="0" w:line="8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7" w:lineRule="exact"/>
        <w:rPr>
          <w:sz w:val="24"/>
          <w:szCs w:val="24"/>
          <w:color w:val="auto"/>
        </w:rPr>
      </w:pPr>
    </w:p>
    <w:p>
      <w:pPr>
        <w:ind w:left="40" w:right="340" w:hanging="2"/>
        <w:spacing w:after="0" w:line="237" w:lineRule="auto"/>
        <w:tabs>
          <w:tab w:leader="none" w:pos="16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Due to administrative error, the Reporting Person's last filed Form 4 under-reported the shares beneficially owned by 2,000 shares. This Form 4 reflects the corrected total beneficial ownership for this Reporting Person.</w:t>
      </w:r>
    </w:p>
    <w:p>
      <w:pPr>
        <w:spacing w:after="0" w:line="31" w:lineRule="exact"/>
        <w:rPr>
          <w:rFonts w:ascii="Arial" w:cs="Arial" w:eastAsia="Arial" w:hAnsi="Arial"/>
          <w:sz w:val="13"/>
          <w:szCs w:val="13"/>
          <w:color w:val="008000"/>
        </w:rPr>
      </w:pPr>
    </w:p>
    <w:p>
      <w:pPr>
        <w:ind w:left="40" w:right="460" w:hanging="2"/>
        <w:spacing w:after="0" w:line="275" w:lineRule="auto"/>
        <w:tabs>
          <w:tab w:leader="none" w:pos="166"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shares are held in the referenced trust for the benefit of the reporting person's child. The reporting person's spouse is the trustee of this trust. The reporting person disclaims beneficial ownership of these securities, and the filing of this report is not an admission that the reporting person is the beneficial owner of these securities for purposes of Section 16 or any other purpose.</w:t>
      </w:r>
    </w:p>
    <w:p>
      <w:pPr>
        <w:spacing w:after="0" w:line="10" w:lineRule="exact"/>
        <w:rPr>
          <w:rFonts w:ascii="Arial" w:cs="Arial" w:eastAsia="Arial" w:hAnsi="Arial"/>
          <w:sz w:val="12"/>
          <w:szCs w:val="12"/>
          <w:color w:val="008000"/>
        </w:rPr>
      </w:pPr>
    </w:p>
    <w:p>
      <w:pPr>
        <w:ind w:left="40" w:right="240" w:hanging="2"/>
        <w:spacing w:after="0" w:line="232" w:lineRule="auto"/>
        <w:tabs>
          <w:tab w:leader="none" w:pos="16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Compensation Committee approved the stock option award to the reporting person in order to offset his low-to-market total cash compensation and provide him with a market-aligned total compensation package for 2019, 2020, and 2021. 36,436 options under the award are intended to offset his below-market total cash salary for 2019, and 58,705 options under the award are intended to offset his below-market total cash compensation for each of 2020 and 2021.</w:t>
      </w:r>
    </w:p>
    <w:p>
      <w:pPr>
        <w:spacing w:after="0" w:line="31" w:lineRule="exact"/>
        <w:rPr>
          <w:rFonts w:ascii="Arial" w:cs="Arial" w:eastAsia="Arial" w:hAnsi="Arial"/>
          <w:sz w:val="13"/>
          <w:szCs w:val="13"/>
          <w:color w:val="008000"/>
        </w:rPr>
      </w:pPr>
    </w:p>
    <w:p>
      <w:pPr>
        <w:ind w:left="160" w:hanging="122"/>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options, granted as an annual performance award, vests in seventy-two equal monthly installments over a six year period on each monthly anniversary of January 1, 2020 until fully vested.</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7"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200" w:type="dxa"/>
            <w:vAlign w:val="bottom"/>
            <w:gridSpan w:val="3"/>
          </w:tcPr>
          <w:p>
            <w:pPr>
              <w:spacing w:after="0"/>
              <w:rPr>
                <w:sz w:val="20"/>
                <w:szCs w:val="20"/>
                <w:color w:val="auto"/>
              </w:rPr>
            </w:pPr>
            <w:r>
              <w:rPr>
                <w:rFonts w:ascii="Arial" w:cs="Arial" w:eastAsia="Arial" w:hAnsi="Arial"/>
                <w:sz w:val="16"/>
                <w:szCs w:val="16"/>
                <w:color w:val="0000FF"/>
              </w:rPr>
              <w:t>/s/ Anjeza Gjino, Attorney-in-</w:t>
            </w:r>
          </w:p>
        </w:tc>
        <w:tc>
          <w:tcPr>
            <w:tcW w:w="740" w:type="dxa"/>
            <w:vAlign w:val="bottom"/>
            <w:vMerge w:val="restart"/>
          </w:tcPr>
          <w:p>
            <w:pPr>
              <w:spacing w:after="0"/>
              <w:rPr>
                <w:sz w:val="20"/>
                <w:szCs w:val="20"/>
                <w:color w:val="auto"/>
              </w:rPr>
            </w:pPr>
            <w:r>
              <w:rPr>
                <w:rFonts w:ascii="Arial" w:cs="Arial" w:eastAsia="Arial" w:hAnsi="Arial"/>
                <w:sz w:val="16"/>
                <w:szCs w:val="16"/>
                <w:color w:val="0000FF"/>
                <w:w w:val="89"/>
              </w:rPr>
              <w:t>04/02/2020</w:t>
            </w:r>
          </w:p>
        </w:tc>
        <w:tc>
          <w:tcPr>
            <w:tcW w:w="0" w:type="dxa"/>
            <w:vAlign w:val="bottom"/>
          </w:tcPr>
          <w:p>
            <w:pPr>
              <w:spacing w:after="0"/>
              <w:rPr>
                <w:sz w:val="1"/>
                <w:szCs w:val="1"/>
                <w:color w:val="auto"/>
              </w:rPr>
            </w:pPr>
          </w:p>
        </w:tc>
      </w:tr>
      <w:tr>
        <w:trPr>
          <w:trHeight w:val="86"/>
        </w:trPr>
        <w:tc>
          <w:tcPr>
            <w:tcW w:w="280" w:type="dxa"/>
            <w:vAlign w:val="bottom"/>
            <w:tcBorders>
              <w:top w:val="single" w:sz="8" w:color="auto"/>
              <w:bottom w:val="single" w:sz="8" w:color="auto"/>
            </w:tcBorders>
            <w:vMerge w:val="restart"/>
          </w:tcPr>
          <w:p>
            <w:pPr>
              <w:spacing w:after="0" w:line="181" w:lineRule="exact"/>
              <w:rPr>
                <w:sz w:val="20"/>
                <w:szCs w:val="20"/>
                <w:color w:val="auto"/>
              </w:rPr>
            </w:pPr>
            <w:r>
              <w:rPr>
                <w:rFonts w:ascii="Arial" w:cs="Arial" w:eastAsia="Arial" w:hAnsi="Arial"/>
                <w:sz w:val="16"/>
                <w:szCs w:val="16"/>
                <w:color w:val="0000FF"/>
                <w:w w:val="83"/>
              </w:rPr>
              <w:t>Fact</w:t>
            </w:r>
          </w:p>
        </w:tc>
        <w:tc>
          <w:tcPr>
            <w:tcW w:w="1680" w:type="dxa"/>
            <w:vAlign w:val="bottom"/>
            <w:tcBorders>
              <w:top w:val="single" w:sz="8" w:color="auto"/>
              <w:bottom w:val="single" w:sz="8" w:color="auto"/>
            </w:tcBorders>
            <w:vMerge w:val="restart"/>
          </w:tcPr>
          <w:p>
            <w:pPr>
              <w:spacing w:after="0"/>
              <w:rPr>
                <w:sz w:val="7"/>
                <w:szCs w:val="7"/>
                <w:color w:val="auto"/>
              </w:rPr>
            </w:pPr>
          </w:p>
        </w:tc>
        <w:tc>
          <w:tcPr>
            <w:tcW w:w="24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80" w:type="dxa"/>
            <w:vAlign w:val="bottom"/>
            <w:tcBorders>
              <w:bottom w:val="single" w:sz="8" w:color="auto"/>
            </w:tcBorders>
            <w:vMerge w:val="continue"/>
          </w:tcPr>
          <w:p>
            <w:pPr>
              <w:spacing w:after="0"/>
              <w:rPr>
                <w:sz w:val="7"/>
                <w:szCs w:val="7"/>
                <w:color w:val="auto"/>
              </w:rPr>
            </w:pPr>
          </w:p>
        </w:tc>
        <w:tc>
          <w:tcPr>
            <w:tcW w:w="1680" w:type="dxa"/>
            <w:vAlign w:val="bottom"/>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4"/>
          <w:szCs w:val="24"/>
          <w:color w:val="auto"/>
        </w:rPr>
      </w:pPr>
    </w:p>
    <w:p>
      <w:pPr>
        <w:jc w:val="both"/>
        <w:ind w:left="40" w:right="3780" w:hanging="2"/>
        <w:spacing w:after="0" w:line="324"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28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478485" TargetMode="External"/><Relationship Id="rId14" Type="http://schemas.openxmlformats.org/officeDocument/2006/relationships/hyperlink" Target="http://www.sec.gov/cgi-bin/browse-edgar?action=getcompany&amp;CIK=00017552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2020-04-02T16:00:37Z</dcterms:created>
  <dcterms:modified xsi:type="dcterms:W3CDTF">2020-04-02T16:00:37Z</dcterms:modified>
</cp:coreProperties>
</file>